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0ED" w:rsidRPr="00F920ED" w:rsidRDefault="00F920ED" w:rsidP="00F920ED">
      <w:pPr>
        <w:spacing w:before="100" w:beforeAutospacing="1" w:after="100" w:afterAutospacing="1" w:line="240" w:lineRule="auto"/>
        <w:ind w:left="113"/>
        <w:jc w:val="both"/>
        <w:rPr>
          <w:rFonts w:eastAsia="Times New Roman" w:cs="Times New Roman"/>
          <w:b/>
          <w:iCs/>
          <w:color w:val="1F4E79" w:themeColor="accent1" w:themeShade="80"/>
          <w:lang w:eastAsia="es-VE"/>
        </w:rPr>
      </w:pPr>
      <w:r w:rsidRPr="00F920ED">
        <w:rPr>
          <w:rFonts w:eastAsia="Times New Roman" w:cs="Times New Roman"/>
          <w:b/>
          <w:iCs/>
          <w:color w:val="1F4E79" w:themeColor="accent1" w:themeShade="80"/>
          <w:lang w:eastAsia="es-VE"/>
        </w:rPr>
        <w:t>Benchmarking Aplicación y Uso</w:t>
      </w: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iCs/>
          <w:lang w:eastAsia="es-VE"/>
        </w:rPr>
        <w:t>Benchmarking</w:t>
      </w:r>
      <w:r w:rsidRPr="00F920ED">
        <w:rPr>
          <w:rFonts w:eastAsia="Times New Roman" w:cs="Times New Roman"/>
          <w:lang w:eastAsia="es-VE"/>
        </w:rPr>
        <w:t xml:space="preserve"> es un proceso que busca encontrar las mejores prácticas de las organizaciones líderes de la industria con la finalidad de lograr saltos trascendentales en la competitividad de la propia organización. Aunque el término en inglés adquiere cada vez mayor aceptación, su acepción en castellano, "comparación referencial", también se utiliza con éxito. </w:t>
      </w: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El </w:t>
      </w:r>
      <w:r w:rsidRPr="00F920ED">
        <w:rPr>
          <w:rFonts w:eastAsia="Times New Roman" w:cs="Times New Roman"/>
          <w:iCs/>
          <w:lang w:eastAsia="es-VE"/>
        </w:rPr>
        <w:t>benchmarking</w:t>
      </w:r>
      <w:r w:rsidRPr="00F920ED">
        <w:rPr>
          <w:rFonts w:eastAsia="Times New Roman" w:cs="Times New Roman"/>
          <w:lang w:eastAsia="es-VE"/>
        </w:rPr>
        <w:t xml:space="preserve"> es una herramienta estratégica relacionada con la búsqueda acelerada de la co</w:t>
      </w:r>
      <w:bookmarkStart w:id="0" w:name="_GoBack"/>
      <w:bookmarkEnd w:id="0"/>
      <w:r w:rsidRPr="00F920ED">
        <w:rPr>
          <w:rFonts w:eastAsia="Times New Roman" w:cs="Times New Roman"/>
          <w:lang w:eastAsia="es-VE"/>
        </w:rPr>
        <w:t xml:space="preserve">mpetitividad de la organización mediante la comparación de lo que hacemos y cómo lo hacemos, contra lo que hacen los mejores en su clase y cómo lo hacen. </w:t>
      </w:r>
    </w:p>
    <w:p w:rsidR="00F920ED" w:rsidRPr="00F920ED" w:rsidRDefault="00F920ED" w:rsidP="00F920ED">
      <w:pPr>
        <w:ind w:left="113"/>
        <w:jc w:val="both"/>
      </w:pPr>
      <w:r w:rsidRPr="00F920ED">
        <w:rPr>
          <w:rFonts w:eastAsia="Times New Roman" w:cs="Times New Roman"/>
          <w:lang w:eastAsia="es-VE"/>
        </w:rPr>
        <w:t xml:space="preserve">El propósito de este artículo es realizar una revisión de los beneficios que el </w:t>
      </w:r>
      <w:r w:rsidRPr="00F920ED">
        <w:rPr>
          <w:rFonts w:eastAsia="Times New Roman" w:cs="Times New Roman"/>
          <w:iCs/>
          <w:lang w:eastAsia="es-VE"/>
        </w:rPr>
        <w:t>benchmarking</w:t>
      </w:r>
      <w:r w:rsidRPr="00F920ED">
        <w:rPr>
          <w:rFonts w:eastAsia="Times New Roman" w:cs="Times New Roman"/>
          <w:lang w:eastAsia="es-VE"/>
        </w:rPr>
        <w:t xml:space="preserve"> puede significar para las empresas, el cual puede comprenderse mejor mediante lo siguientes aspectos:</w:t>
      </w:r>
    </w:p>
    <w:p w:rsidR="00F920ED" w:rsidRPr="00F920ED" w:rsidRDefault="00F920ED" w:rsidP="00F920ED">
      <w:pPr>
        <w:ind w:left="113"/>
        <w:jc w:val="both"/>
      </w:pP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rsidTr="00F920ED">
        <w:trPr>
          <w:tblCellSpacing w:w="15" w:type="dxa"/>
          <w:jc w:val="center"/>
        </w:trPr>
        <w:tc>
          <w:tcPr>
            <w:tcW w:w="9540" w:type="dxa"/>
            <w:shd w:val="clear" w:color="auto" w:fill="B0C4DE"/>
            <w:hideMark/>
          </w:tcPr>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b/>
                <w:bCs/>
                <w:color w:val="000080"/>
                <w:lang w:eastAsia="es-VE"/>
              </w:rPr>
              <w:t>Acelera el proceso de aprendizaje de la organización</w:t>
            </w:r>
            <w:r w:rsidRPr="00F920ED">
              <w:rPr>
                <w:rFonts w:eastAsia="Times New Roman" w:cs="Times New Roman"/>
                <w:color w:val="000080"/>
                <w:lang w:eastAsia="es-VE"/>
              </w:rPr>
              <w:t xml:space="preserve"> </w:t>
            </w:r>
          </w:p>
        </w:tc>
      </w:tr>
    </w:tbl>
    <w:p w:rsidR="00F920ED" w:rsidRPr="00F920ED" w:rsidRDefault="00F920ED" w:rsidP="00F920ED">
      <w:pPr>
        <w:spacing w:after="0" w:line="240" w:lineRule="auto"/>
        <w:ind w:left="113"/>
        <w:jc w:val="both"/>
        <w:rPr>
          <w:rFonts w:eastAsia="Times New Roman" w:cs="Times New Roman"/>
          <w:vanish/>
          <w:lang w:eastAsia="es-VE"/>
        </w:rPr>
      </w:pP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hideMark/>
          </w:tcPr>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No solamente las personas aprenden, también las organizaciones. Son precisamente las organizaciones con una mayor velocidad de aprendizaje las que se colocan con mayor rapidez a la cabeza de su grupo. La actitud de aprender de otros es una característica básica de un proceso de </w:t>
            </w:r>
            <w:r w:rsidRPr="00F920ED">
              <w:rPr>
                <w:rFonts w:eastAsia="Times New Roman" w:cs="Times New Roman"/>
                <w:iCs/>
                <w:lang w:eastAsia="es-VE"/>
              </w:rPr>
              <w:t>benchmarking</w:t>
            </w:r>
            <w:r w:rsidRPr="00F920ED">
              <w:rPr>
                <w:rFonts w:eastAsia="Times New Roman" w:cs="Times New Roman"/>
                <w:lang w:eastAsia="es-VE"/>
              </w:rPr>
              <w:t xml:space="preserve">. </w:t>
            </w: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Cuando los mejores son el objetivo del proceso de aprendizaje, la creatividad, la iniciativa, la motivación y la necesidad de logro se incrementan. Una organización que aprende, asimila, aplica y logra, encuentra en el éxito una manera de vida. El aprendizaje se vuelve parte fundamental de la cultura organizacional y las empresas pueden demostrarse, a través del </w:t>
            </w:r>
            <w:r w:rsidRPr="00F920ED">
              <w:rPr>
                <w:rFonts w:eastAsia="Times New Roman" w:cs="Times New Roman"/>
                <w:iCs/>
                <w:lang w:eastAsia="es-VE"/>
              </w:rPr>
              <w:t>benchmarking</w:t>
            </w:r>
            <w:r w:rsidRPr="00F920ED">
              <w:rPr>
                <w:rFonts w:eastAsia="Times New Roman" w:cs="Times New Roman"/>
                <w:lang w:eastAsia="es-VE"/>
              </w:rPr>
              <w:t xml:space="preserve">, que tienen la habilidad de aprender el liderazgo. </w:t>
            </w:r>
          </w:p>
        </w:tc>
      </w:tr>
    </w:tbl>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lang w:eastAsia="es-VE"/>
        </w:rPr>
        <w:br/>
      </w:r>
      <w:r w:rsidRPr="00F920ED">
        <w:rPr>
          <w:rFonts w:eastAsia="Times New Roman" w:cs="Times New Roman"/>
          <w:lang w:eastAsia="es-VE"/>
        </w:rPr>
        <w:br/>
      </w:r>
      <w:bookmarkStart w:id="1" w:name="5"/>
      <w:r w:rsidRPr="00F920ED">
        <w:rPr>
          <w:rFonts w:eastAsia="Times New Roman" w:cs="Times New Roman"/>
          <w:color w:val="FFFFFF"/>
          <w:lang w:eastAsia="es-VE"/>
        </w:rPr>
        <w:t xml:space="preserve">5 </w:t>
      </w: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shd w:val="clear" w:color="auto" w:fill="B0C4DE"/>
            <w:hideMark/>
          </w:tcPr>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b/>
                <w:bCs/>
                <w:color w:val="000080"/>
                <w:lang w:eastAsia="es-VE"/>
              </w:rPr>
              <w:t>Define el nivel de competitividad de la organización</w:t>
            </w:r>
            <w:r w:rsidRPr="00F920ED">
              <w:rPr>
                <w:rFonts w:eastAsia="Times New Roman" w:cs="Times New Roman"/>
                <w:color w:val="000080"/>
                <w:lang w:eastAsia="es-VE"/>
              </w:rPr>
              <w:t xml:space="preserve"> </w:t>
            </w:r>
          </w:p>
        </w:tc>
      </w:tr>
    </w:tbl>
    <w:p w:rsidR="00F920ED" w:rsidRPr="00F920ED" w:rsidRDefault="00F920ED" w:rsidP="00F920ED">
      <w:pPr>
        <w:spacing w:after="0" w:line="240" w:lineRule="auto"/>
        <w:ind w:left="113"/>
        <w:jc w:val="both"/>
        <w:rPr>
          <w:rFonts w:eastAsia="Times New Roman" w:cs="Times New Roman"/>
          <w:vanish/>
          <w:lang w:eastAsia="es-VE"/>
        </w:rPr>
      </w:pP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hideMark/>
          </w:tcPr>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Compararse de manera sistemática provee los elementos para ubicar de manera más objetiva el nivel competitivo de la compañía. Ayuda a saber si realmente somos los líderes y el alcance de ese liderazgo. </w:t>
            </w: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p>
        </w:tc>
      </w:tr>
    </w:tbl>
    <w:p w:rsidR="00F920ED" w:rsidRPr="00F920ED" w:rsidRDefault="00F920ED" w:rsidP="00F920ED">
      <w:pPr>
        <w:spacing w:after="0" w:line="240" w:lineRule="auto"/>
        <w:ind w:left="113"/>
        <w:jc w:val="both"/>
        <w:rPr>
          <w:rFonts w:eastAsia="Times New Roman" w:cs="Times New Roman"/>
          <w:color w:val="FFFFFF"/>
          <w:lang w:eastAsia="es-VE"/>
        </w:rPr>
      </w:pPr>
      <w:r w:rsidRPr="00F920ED">
        <w:rPr>
          <w:rFonts w:eastAsia="Times New Roman" w:cs="Times New Roman"/>
          <w:color w:val="FFFFFF"/>
          <w:lang w:eastAsia="es-VE"/>
        </w:rPr>
        <w:t xml:space="preserve">5 </w:t>
      </w: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shd w:val="clear" w:color="auto" w:fill="B0C4DE"/>
            <w:hideMark/>
          </w:tcPr>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b/>
                <w:bCs/>
                <w:color w:val="000080"/>
                <w:lang w:eastAsia="es-VE"/>
              </w:rPr>
              <w:t>Los mejores, dispuestos a compartir</w:t>
            </w:r>
            <w:r w:rsidRPr="00F920ED">
              <w:rPr>
                <w:rFonts w:eastAsia="Times New Roman" w:cs="Times New Roman"/>
                <w:color w:val="000080"/>
                <w:lang w:eastAsia="es-VE"/>
              </w:rPr>
              <w:t xml:space="preserve"> </w:t>
            </w:r>
          </w:p>
        </w:tc>
      </w:tr>
    </w:tbl>
    <w:p w:rsidR="00F920ED" w:rsidRPr="00F920ED" w:rsidRDefault="00F920ED" w:rsidP="00F920ED">
      <w:pPr>
        <w:spacing w:after="0" w:line="240" w:lineRule="auto"/>
        <w:ind w:left="113"/>
        <w:jc w:val="both"/>
        <w:rPr>
          <w:rFonts w:eastAsia="Times New Roman" w:cs="Times New Roman"/>
          <w:vanish/>
          <w:lang w:eastAsia="es-VE"/>
        </w:rPr>
      </w:pP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hideMark/>
          </w:tcPr>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Al enfrentar por primera vez al reto de identificar a los mejores y de lograr que compartan con nosotros sus mejores prácticas es probable que se piense en lo difícil que será convencerlos. En la actualidad, las </w:t>
            </w:r>
            <w:r w:rsidRPr="00F920ED">
              <w:rPr>
                <w:rFonts w:eastAsia="Times New Roman" w:cs="Times New Roman"/>
                <w:lang w:eastAsia="es-VE"/>
              </w:rPr>
              <w:lastRenderedPageBreak/>
              <w:t xml:space="preserve">empresas saben que pueden obtener beneficio mutuo compartiendo sus éxitos y las prácticas que los han llevado a ser exitosos. </w:t>
            </w: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Conozco el caso de una empresa líder en fotocopiado que en medio de una alianza de </w:t>
            </w:r>
            <w:r w:rsidRPr="00F920ED">
              <w:rPr>
                <w:rFonts w:eastAsia="Times New Roman" w:cs="Times New Roman"/>
                <w:iCs/>
                <w:lang w:eastAsia="es-VE"/>
              </w:rPr>
              <w:t>benchmarking</w:t>
            </w:r>
            <w:r w:rsidRPr="00F920ED">
              <w:rPr>
                <w:rFonts w:eastAsia="Times New Roman" w:cs="Times New Roman"/>
                <w:lang w:eastAsia="es-VE"/>
              </w:rPr>
              <w:t xml:space="preserve"> entregó una copia de su plan estratégico a la competencia. Detrás de esta acción siempre estuvo el propósito de ayudar. </w:t>
            </w:r>
          </w:p>
        </w:tc>
      </w:tr>
    </w:tbl>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lang w:eastAsia="es-VE"/>
        </w:rPr>
        <w:lastRenderedPageBreak/>
        <w:br/>
      </w:r>
      <w:r w:rsidRPr="00F920ED">
        <w:rPr>
          <w:rFonts w:eastAsia="Times New Roman" w:cs="Times New Roman"/>
          <w:lang w:eastAsia="es-VE"/>
        </w:rPr>
        <w:br/>
      </w:r>
      <w:r w:rsidRPr="00F920ED">
        <w:rPr>
          <w:rFonts w:eastAsia="Times New Roman" w:cs="Times New Roman"/>
          <w:color w:val="FFFFFF"/>
          <w:lang w:eastAsia="es-VE"/>
        </w:rPr>
        <w:t xml:space="preserve">5 </w:t>
      </w: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shd w:val="clear" w:color="auto" w:fill="B0C4DE"/>
            <w:hideMark/>
          </w:tcPr>
          <w:p w:rsidR="00F920ED" w:rsidRPr="00F920ED" w:rsidRDefault="00F920ED" w:rsidP="00F920ED">
            <w:pPr>
              <w:spacing w:after="0" w:line="240" w:lineRule="auto"/>
              <w:ind w:left="113"/>
              <w:jc w:val="both"/>
              <w:rPr>
                <w:rFonts w:eastAsia="Times New Roman" w:cs="Times New Roman"/>
                <w:lang w:eastAsia="es-VE"/>
              </w:rPr>
            </w:pPr>
            <w:r w:rsidRPr="00F920ED">
              <w:rPr>
                <w:rFonts w:eastAsia="Times New Roman" w:cs="Times New Roman"/>
                <w:b/>
                <w:bCs/>
                <w:color w:val="000080"/>
                <w:lang w:eastAsia="es-VE"/>
              </w:rPr>
              <w:t>Simplificación</w:t>
            </w:r>
            <w:r w:rsidRPr="00F920ED">
              <w:rPr>
                <w:rFonts w:eastAsia="Times New Roman" w:cs="Times New Roman"/>
                <w:color w:val="000080"/>
                <w:lang w:eastAsia="es-VE"/>
              </w:rPr>
              <w:t xml:space="preserve"> </w:t>
            </w:r>
          </w:p>
        </w:tc>
      </w:tr>
      <w:bookmarkEnd w:id="1"/>
    </w:tbl>
    <w:p w:rsidR="00F920ED" w:rsidRPr="00F920ED" w:rsidRDefault="00F920ED" w:rsidP="00F920ED">
      <w:pPr>
        <w:spacing w:after="0" w:line="240" w:lineRule="auto"/>
        <w:ind w:left="113"/>
        <w:jc w:val="both"/>
        <w:rPr>
          <w:rFonts w:eastAsia="Times New Roman" w:cs="Times New Roman"/>
          <w:vanish/>
          <w:lang w:eastAsia="es-VE"/>
        </w:rPr>
      </w:pPr>
    </w:p>
    <w:tbl>
      <w:tblPr>
        <w:tblW w:w="9600" w:type="dxa"/>
        <w:jc w:val="center"/>
        <w:tblCellSpacing w:w="15" w:type="dxa"/>
        <w:tblCellMar>
          <w:top w:w="15" w:type="dxa"/>
          <w:left w:w="15" w:type="dxa"/>
          <w:bottom w:w="15" w:type="dxa"/>
          <w:right w:w="15" w:type="dxa"/>
        </w:tblCellMar>
        <w:tblLook w:val="04A0" w:firstRow="1" w:lastRow="0" w:firstColumn="1" w:lastColumn="0" w:noHBand="0" w:noVBand="1"/>
      </w:tblPr>
      <w:tblGrid>
        <w:gridCol w:w="9600"/>
      </w:tblGrid>
      <w:tr w:rsidR="00F920ED" w:rsidRPr="00F920ED">
        <w:trPr>
          <w:tblCellSpacing w:w="15" w:type="dxa"/>
          <w:jc w:val="center"/>
        </w:trPr>
        <w:tc>
          <w:tcPr>
            <w:tcW w:w="9600" w:type="dxa"/>
            <w:hideMark/>
          </w:tcPr>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p>
          <w:p w:rsidR="00F920ED" w:rsidRPr="00F920ED" w:rsidRDefault="00F920ED" w:rsidP="00F920ED">
            <w:pPr>
              <w:spacing w:before="100" w:beforeAutospacing="1" w:after="100" w:afterAutospacing="1" w:line="240" w:lineRule="auto"/>
              <w:ind w:left="113"/>
              <w:jc w:val="both"/>
              <w:rPr>
                <w:rFonts w:eastAsia="Times New Roman" w:cs="Times New Roman"/>
                <w:lang w:eastAsia="es-VE"/>
              </w:rPr>
            </w:pPr>
            <w:r w:rsidRPr="00F920ED">
              <w:rPr>
                <w:rFonts w:eastAsia="Times New Roman" w:cs="Times New Roman"/>
                <w:lang w:eastAsia="es-VE"/>
              </w:rPr>
              <w:t xml:space="preserve">Siempre habrá una manera más sencilla de hacer los negocios y los procesos. Es muy probable que alguien más sepa cómo hacerlo. El benchmarking provee la posibilidad de descubrirlo más rápidamente y con una menor inversión de recursos. La investigación asociada al benchmarking permite una mayor velocidad en el hallazgo de maneras más efectivas de lograr los resultados. </w:t>
            </w:r>
          </w:p>
        </w:tc>
      </w:tr>
    </w:tbl>
    <w:p w:rsidR="00C55BB2" w:rsidRPr="00F920ED" w:rsidRDefault="00C55BB2" w:rsidP="00F920ED">
      <w:pPr>
        <w:ind w:left="113"/>
        <w:jc w:val="both"/>
      </w:pPr>
    </w:p>
    <w:sectPr w:rsidR="00C55BB2" w:rsidRPr="00F920ED" w:rsidSect="00F920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0ED"/>
    <w:rsid w:val="002059B8"/>
    <w:rsid w:val="00C55BB2"/>
    <w:rsid w:val="00F920ED"/>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C72D9F-96FA-4F82-ABA4-E040DF10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920ED"/>
    <w:pPr>
      <w:spacing w:before="100" w:beforeAutospacing="1" w:after="100" w:afterAutospacing="1" w:line="240" w:lineRule="auto"/>
    </w:pPr>
    <w:rPr>
      <w:rFonts w:ascii="Times New Roman" w:eastAsia="Times New Roman" w:hAnsi="Times New Roman" w:cs="Times New Roman"/>
      <w:sz w:val="24"/>
      <w:szCs w:val="24"/>
      <w:lang w:eastAsia="es-V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443</Words>
  <Characters>2440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Josuald Pimentel</dc:creator>
  <cp:keywords/>
  <dc:description/>
  <cp:lastModifiedBy>Josuald Pimentel</cp:lastModifiedBy>
  <cp:revision>1</cp:revision>
  <dcterms:created xsi:type="dcterms:W3CDTF">2015-07-30T19:56:00Z</dcterms:created>
  <dcterms:modified xsi:type="dcterms:W3CDTF">2015-07-30T20:26:00Z</dcterms:modified>
</cp:coreProperties>
</file>